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聚類與中心性分析</w:t>
      </w:r>
    </w:p>
    <w:p>
      <w:pPr>
        <w:pStyle w:val="Heading2"/>
      </w:pPr>
      <w:r>
        <w:t>中心性指標</w:t>
      </w:r>
    </w:p>
    <w:p>
      <w:pPr/>
      <w:r>
        <w:rPr>
          <w:b/>
        </w:rPr>
        <w:t>Strength（加權度中心性）</w:t>
      </w:r>
      <w:r>
        <w:t>：節點所有邊權之和，反映文本與語料庫整體的相似程度。</w:t>
      </w:r>
    </w:p>
    <w:p>
      <w:pPr/>
      <w:r>
        <w:rPr>
          <w:b/>
        </w:rPr>
        <w:t>Eigenvector（特徵向量中心性）</w:t>
      </w:r>
      <w:r>
        <w:t>：遞迴計算，與重要節點相連的節點獲得更高權重。</w:t>
      </w:r>
    </w:p>
    <w:p>
      <w:pPr/>
      <w:r>
        <w:rPr>
          <w:b/>
        </w:rPr>
        <w:t>Betweenness（中介中心性）</w:t>
      </w:r>
      <w:r>
        <w:t>：衡量節點在最短路徑上的橋接作用，值越高表示節點越處於連接不同群組的關鍵位置。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排名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文本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書籍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Strength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Eigenvector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Betweenness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Betw.排名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《论語·憲问》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12.0376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0.2497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0.0538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3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《论語·衛靈公》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11.2613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0.2390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《史記·弟子列傳》（選）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史記·弟子列傳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11.0170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0.2126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0.1849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《论語·陽貨》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10.8405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0.2240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《论語·子路》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10.5934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0.2228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0.0043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《论語·述而》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10.5778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0.2222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《孔子衣鏡·弟子傳》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衣鏡·弟子傳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10.4116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0.1998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0.0516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4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《论語·颜渊》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10.1516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0.2099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0.0065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7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《论語·里仁》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10.1325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0.2179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《论語·爲政》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9.7272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0.2079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《史記·孔子世家·丁》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9.5451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0.1814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0.0086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5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《论語·先進》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9.4604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0.2010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《论語·雍也》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9.3561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0.2010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《论語·公冶長》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9.3017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0.1991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《史記·孔子世家·戊》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9.2821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0.1744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0.0086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5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《论語·子罕》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9.0719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0.1932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《论語·八佾》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9.0398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0.1912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《史記·孔子世家·丙》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8.7564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0.1644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《论語·泰伯》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8.7369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0.1876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《论語·季氏》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8.7225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0.1738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《论語·學而》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8.7211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0.1865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0.0022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9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《史記·孔子世家·己》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8.3733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0.1569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0.0645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《史記·孔子世家·甲》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7.2661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0.1319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《论語·微子》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6.5428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0.1295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《史記·孔子世家·庚》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5.9376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0.1098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《论語·尧曰》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5.6585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0.1194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《孔子家語·七十二弟子解》（選）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家語·七十二弟子解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5.6192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0.1025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《孔子衣鏡·孔子傳》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衣鏡·孔子傳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5.1005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0.0892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《论語·子張》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4.9640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0.1020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30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《史記·孔子世家·乙》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4.4651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0.0815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31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《孔子家語·本姓解》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家語·本姓解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4.0729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0.0734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32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《论語·鄉党》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1.2486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0.0244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</w:tbl>
    <w:p>
      <w:pPr/>
      <w:r>
        <w:t>按書籍分組平均中心性：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書籍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Avg Strength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Avg Eigenvector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Avg Betweenness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史記·弟子列傳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11.0170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0.2126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0.1849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衣鏡·弟子傳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10.4116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0.1998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0.0516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8.8073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0.1851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0.0033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7.6608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0.1429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0.0117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家語·七十二弟子解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5.6192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0.1025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衣鏡·孔子傳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5.1005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0.0892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家語·本姓解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4.0729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0.0734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</w:tr>
    </w:tbl>
    <w:p>
      <w:pPr>
        <w:pStyle w:val="Heading2"/>
      </w:pPr>
      <w:r>
        <w:t>Ward 層次聚類</w:t>
      </w:r>
    </w:p>
    <w:p>
      <w:pPr/>
      <w:r>
        <w:t>Ward 法通過最小化合併後的組內方差來逐步構建層次聚類結構。距離矩陣定義為 dist(i,j) = 1 − cos_sim(i,j)。</w:t>
      </w:r>
    </w:p>
    <w:p>
      <w:pPr/>
      <w:r>
        <w:t>k=2 分群結果：</w:t>
      </w:r>
    </w:p>
    <w:p>
      <w:pPr/>
      <w:r>
        <w:t>群 1：《论語·學而》, 《论語·爲政》, 《论語·八佾》, 《论語·里仁》, 《论語·公冶長》, 《论語·雍也》, 《论語·述而》, 《论語·泰伯》, 《论語·子罕》, 《论語·先進》, 《论語·颜渊》, 《论語·子路》, 《论語·憲问》, 《论語·衛靈公》, 《论語·陽貨》, 《论語·子張》, 《论語·尧曰》</w:t>
      </w:r>
    </w:p>
    <w:p>
      <w:pPr/>
      <w:r>
        <w:t>群 2：《孔子衣鏡·孔子傳》, 《孔子衣鏡·弟子傳》, 《史記·孔子世家·甲》, 《史記·孔子世家·乙》, 《史記·孔子世家·丙》, 《史記·孔子世家·丁》, 《史記·孔子世家·戊》, 《史記·孔子世家·己》, 《史記·孔子世家·庚》, 《史記·弟子列傳》（選）, 《孔子家語·本姓解》, 《孔子家語·七十二弟子解》（選）, 《论語·鄉党》, 《论語·季氏》, 《论語·微子》</w:t>
      </w:r>
    </w:p>
    <w:p>
      <w:pPr/>
      <w:r>
        <w:t>k=4 分群結果：</w:t>
      </w:r>
    </w:p>
    <w:p>
      <w:pPr/>
      <w:r>
        <w:t>群 1：《论語·學而》, 《论語·爲政》, 《论語·八佾》, 《论語·里仁》, 《论語·公冶長》, 《论語·雍也》, 《论語·述而》, 《论語·泰伯》, 《论語·子罕》, 《论語·先進》, 《论語·颜渊》, 《论語·子路》, 《论語·憲问》, 《论語·衛靈公》, 《论語·陽貨》</w:t>
      </w:r>
    </w:p>
    <w:p>
      <w:pPr/>
      <w:r>
        <w:t>群 2：《论語·子張》, 《论語·尧曰》</w:t>
      </w:r>
    </w:p>
    <w:p>
      <w:pPr/>
      <w:r>
        <w:t>群 3：《孔子衣鏡·孔子傳》, 《孔子衣鏡·弟子傳》, 《史記·孔子世家·甲》, 《史記·孔子世家·乙》, 《史記·孔子世家·丙》, 《史記·孔子世家·丁》, 《史記·孔子世家·戊》, 《史記·孔子世家·己》, 《史記·孔子世家·庚》, 《史記·弟子列傳》（選）, 《孔子家語·本姓解》, 《孔子家語·七十二弟子解》（選）, 《论語·季氏》, 《论語·微子》</w:t>
      </w:r>
    </w:p>
    <w:p>
      <w:pPr/>
      <w:r>
        <w:t>群 4：《论語·鄉党》</w:t>
      </w:r>
    </w:p>
    <w:p>
      <w:pPr/>
      <w:r>
        <w:t>Silhouette Score (k=2)：0.2181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602231254＋small pipe＋h2＋小樣本實驗-孔子衣鏡（歸一化版32篇）＋Qwen3-Embedding-8B+Qwen3-Reranker-8B_h2_Ward樹狀圖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MDS 降維可視化</w:t>
      </w:r>
    </w:p>
    <w:p>
      <w:pPr/>
      <w:r>
        <w:t>MDS（多維尺度分析）將高維距離矩陣投影到二維平面，盡量保留文本間的相對距離關係。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602231254＋small pipe＋h2＋小樣本實驗-孔子衣鏡（歸一化版32篇）＋Qwen3-Embedding-8B+Qwen3-Reranker-8B_h2_MDS散點圖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PCA 主成分分析</w:t>
      </w:r>
    </w:p>
    <w:p>
      <w:pPr/>
      <w:r>
        <w:t>PCA（主成分分析）對 TF-IDF 特徵矩陣進行特徵值分解，提取方差最大的兩個方向作為座標軸。載荷向量（箭頭）表示各 n-gram 對主成分的貢獻，可揭示驅動文本群分離的關鍵詞彙特徵。</w:t>
      </w:r>
    </w:p>
    <w:p>
      <w:r>
        <w:drawing>
          <wp:inline xmlns:a="http://schemas.openxmlformats.org/drawingml/2006/main" xmlns:pic="http://schemas.openxmlformats.org/drawingml/2006/picture">
            <wp:extent cx="5486400" cy="5143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602231254＋small pipe＋h2＋小樣本實驗-孔子衣鏡（歸一化版32篇）＋Qwen3-Embedding-8B+Qwen3-Reranker-8B_h2_PCA_TF-IDF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4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網絡關係圖</w:t>
      </w:r>
    </w:p>
    <w:p>
      <w:pPr/>
      <w:r>
        <w:t>力導向網絡圖（Spring Layout）以節點代表文本，邊寬度反映餘弦相似度大小。同組文本間的邊以該組顏色著色，跨組邊以灰色表示。節點按文獻來源分組著色。</w:t>
      </w:r>
    </w:p>
    <w:p>
      <w:r>
        <w:drawing>
          <wp:inline xmlns:a="http://schemas.openxmlformats.org/drawingml/2006/main" xmlns:pic="http://schemas.openxmlformats.org/drawingml/2006/picture">
            <wp:extent cx="5486400" cy="3429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602231254＋small pipe＋h2＋小樣本實驗-孔子衣鏡（歸一化版32篇）＋Qwen3-Embedding-8B+Qwen3-Reranker-8B_h2_Network圖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中心性排名圖</w:t>
      </w:r>
    </w:p>
    <w:p>
      <w:r>
        <w:drawing>
          <wp:inline xmlns:a="http://schemas.openxmlformats.org/drawingml/2006/main" xmlns:pic="http://schemas.openxmlformats.org/drawingml/2006/picture">
            <wp:extent cx="5486400" cy="675351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602231254＋small pipe＋h2＋小樣本實驗-孔子衣鏡（歸一化版32篇）＋Qwen3-Embedding-8B+Qwen3-Reranker-8B_h2_Strength中心性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53511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pPr>
      <w:spacing w:before="0" w:after="0" w:line="240" w:lineRule="auto"/>
      <w:ind w:firstLine="420"/>
      <w:jc w:val="left"/>
      <w:contextualSpacing/>
    </w:pPr>
    <w:rPr>
      <w:rFonts w:ascii="Times New Roman" w:hAnsi="Times New Roman" w:eastAsia="宋体"/>
      <w:b w:val="0"/>
      <w:color w:val="000000"/>
      <w:sz w:val="21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0" w:after="0" w:line="240" w:lineRule="auto"/>
      <w:jc w:val="center"/>
      <w:outlineLvl w:val="0"/>
      <w:contextualSpacing/>
    </w:pPr>
    <w:rPr>
      <w:rFonts w:asciiTheme="majorHAnsi" w:eastAsiaTheme="majorEastAsia" w:hAnsiTheme="majorHAnsi" w:cstheme="majorBidi" w:ascii="宋体" w:hAnsi="宋体" w:eastAsia="宋体"/>
      <w:b/>
      <w:bCs/>
      <w:color w:val="000000"/>
      <w:sz w:val="3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0" w:after="0" w:line="240" w:lineRule="auto"/>
      <w:jc w:val="center"/>
      <w:outlineLvl w:val="1"/>
      <w:contextualSpacing/>
    </w:pPr>
    <w:rPr>
      <w:rFonts w:asciiTheme="majorHAnsi" w:eastAsiaTheme="majorEastAsia" w:hAnsiTheme="majorHAnsi" w:cstheme="majorBidi" w:ascii="宋体" w:hAnsi="宋体" w:eastAsia="宋体"/>
      <w:b/>
      <w:bCs/>
      <w:color w:val="000000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0" w:after="0" w:line="240" w:lineRule="auto"/>
      <w:jc w:val="center"/>
      <w:outlineLvl w:val="2"/>
      <w:contextualSpacing/>
    </w:pPr>
    <w:rPr>
      <w:rFonts w:asciiTheme="majorHAnsi" w:eastAsiaTheme="majorEastAsia" w:hAnsiTheme="majorHAnsi" w:cstheme="majorBidi" w:ascii="宋体" w:hAnsi="宋体" w:eastAsia="宋体"/>
      <w:b/>
      <w:bCs/>
      <w:color w:val="000000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